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微软雅黑" w:hAnsi="微软雅黑" w:eastAsia="微软雅黑" w:cs="微软雅黑"/>
          <w:i w:val="0"/>
          <w:caps w:val="0"/>
          <w:color w:val="333333"/>
          <w:spacing w:val="0"/>
          <w:sz w:val="44"/>
          <w:szCs w:val="44"/>
        </w:rPr>
      </w:pPr>
      <w:r>
        <w:rPr>
          <w:rStyle w:val="5"/>
          <w:rFonts w:hint="eastAsia" w:ascii="微软雅黑" w:hAnsi="微软雅黑" w:eastAsia="微软雅黑" w:cs="微软雅黑"/>
          <w:i w:val="0"/>
          <w:caps w:val="0"/>
          <w:color w:val="333333"/>
          <w:spacing w:val="0"/>
          <w:sz w:val="44"/>
          <w:szCs w:val="44"/>
          <w:shd w:val="clear" w:fill="FFFFFF"/>
        </w:rPr>
        <w:t>国务院关于进一步规范和监督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微软雅黑" w:hAnsi="微软雅黑" w:eastAsia="微软雅黑" w:cs="微软雅黑"/>
          <w:i w:val="0"/>
          <w:caps w:val="0"/>
          <w:color w:val="333333"/>
          <w:spacing w:val="0"/>
          <w:sz w:val="44"/>
          <w:szCs w:val="44"/>
        </w:rPr>
      </w:pPr>
      <w:r>
        <w:rPr>
          <w:rStyle w:val="5"/>
          <w:rFonts w:hint="eastAsia" w:ascii="微软雅黑" w:hAnsi="微软雅黑" w:eastAsia="微软雅黑" w:cs="微软雅黑"/>
          <w:i w:val="0"/>
          <w:caps w:val="0"/>
          <w:color w:val="333333"/>
          <w:spacing w:val="0"/>
          <w:sz w:val="44"/>
          <w:szCs w:val="44"/>
          <w:shd w:val="clear" w:fill="FFFFFF"/>
        </w:rPr>
        <w:t>罚款设定与实施的指导意见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国发〔2024〕5号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行政执法是行政机关履行政府职能、管理经济社会事务的重要方式。行政执法工作面广量大，一头连着政府，一头连着群众，直接关系群众对党和政府的信任、对法治的信心。罚款是较为常见的行政执法行为。为进一步提高罚款规定的立法、执法质量，规范和监督罚款设定与实施，现就行政法规、规章中罚款设定与实施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微软雅黑" w:hAnsi="微软雅黑" w:eastAsia="微软雅黑" w:cs="微软雅黑"/>
          <w:i w:val="0"/>
          <w:caps w:val="0"/>
          <w:color w:val="333333"/>
          <w:spacing w:val="0"/>
          <w:sz w:val="32"/>
          <w:szCs w:val="32"/>
        </w:rPr>
      </w:pPr>
      <w:r>
        <w:rPr>
          <w:rStyle w:val="5"/>
          <w:rFonts w:hint="eastAsia" w:ascii="微软雅黑" w:hAnsi="微软雅黑" w:eastAsia="微软雅黑" w:cs="微软雅黑"/>
          <w:i w:val="0"/>
          <w:caps w:val="0"/>
          <w:color w:val="333333"/>
          <w:spacing w:val="0"/>
          <w:sz w:val="32"/>
          <w:szCs w:val="32"/>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（一）指导思想。</w:t>
      </w:r>
      <w:r>
        <w:rPr>
          <w:rFonts w:hint="eastAsia" w:ascii="仿宋" w:hAnsi="仿宋" w:eastAsia="仿宋" w:cs="仿宋"/>
          <w:i w:val="0"/>
          <w:caps w:val="0"/>
          <w:color w:val="333333"/>
          <w:spacing w:val="0"/>
          <w:sz w:val="32"/>
          <w:szCs w:val="32"/>
          <w:shd w:val="clear" w:fill="FFFFFF"/>
        </w:rPr>
        <w:t>以习近平新时代中国特色社会主义思想为指导，深入学习贯彻习近平法治思想，全面贯彻落实党的二十大精神，立足新发展阶段，完整、准确、全面贯彻新发展理念，加快构建新发展格局，严格规范和有力监督罚款设定与实施，强化对违法行为的预防和惩戒作用，提升政府治理能力，维护经济社会秩序，切实保护企业和群众合法权益，优化法治化营商环境，推进国家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（二）基本原则。</w:t>
      </w:r>
      <w:r>
        <w:rPr>
          <w:rFonts w:hint="eastAsia" w:ascii="仿宋" w:hAnsi="仿宋" w:eastAsia="仿宋" w:cs="仿宋"/>
          <w:i w:val="0"/>
          <w:caps w:val="0"/>
          <w:color w:val="333333"/>
          <w:spacing w:val="0"/>
          <w:sz w:val="32"/>
          <w:szCs w:val="32"/>
          <w:shd w:val="clear" w:fill="FFFFFF"/>
        </w:rPr>
        <w:t>坚持党的领导，把坚持和加强党的领导贯穿于规范和监督罚款设定与实施工作的全过程和各方面。坚持以人民为中心，努力让企业和群众在每一个执法行为中都能看到风清气正、从每一项执法决定中都能感受到公平正义。坚持依法行政，按照处罚法定、公正公开、过罚相当、处罚与教育相结合的要求，依法行使权力、履行职责、承担责任。坚持问题导向，着力破解企业和群众反映强烈的乱罚款等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（三）主要目标。</w:t>
      </w:r>
      <w:r>
        <w:rPr>
          <w:rFonts w:hint="eastAsia" w:ascii="仿宋" w:hAnsi="仿宋" w:eastAsia="仿宋" w:cs="仿宋"/>
          <w:i w:val="0"/>
          <w:caps w:val="0"/>
          <w:color w:val="333333"/>
          <w:spacing w:val="0"/>
          <w:sz w:val="32"/>
          <w:szCs w:val="32"/>
          <w:shd w:val="clear" w:fill="FFFFFF"/>
        </w:rPr>
        <w:t>罚</w:t>
      </w:r>
      <w:r>
        <w:rPr>
          <w:rFonts w:hint="eastAsia" w:ascii="仿宋" w:hAnsi="仿宋" w:eastAsia="仿宋" w:cs="仿宋"/>
          <w:i w:val="0"/>
          <w:caps w:val="0"/>
          <w:color w:val="333333"/>
          <w:spacing w:val="0"/>
          <w:sz w:val="32"/>
          <w:szCs w:val="32"/>
          <w:shd w:val="clear" w:fill="FFFFFF"/>
        </w:rPr>
        <w:t>款设定更加科学，罚款实施更加规范，罚款监督更加有力，全面推进严格规范公正文明执法，企业和群众的满意度显著提升。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left"/>
        <w:rPr>
          <w:rStyle w:val="5"/>
          <w:rFonts w:hint="eastAsia" w:ascii="微软雅黑" w:hAnsi="微软雅黑" w:eastAsia="微软雅黑" w:cs="微软雅黑"/>
          <w:i w:val="0"/>
          <w:caps w:val="0"/>
          <w:color w:val="333333"/>
          <w:spacing w:val="0"/>
          <w:sz w:val="32"/>
          <w:szCs w:val="32"/>
          <w:shd w:val="clear" w:fill="FFFFFF"/>
        </w:rPr>
      </w:pPr>
      <w:r>
        <w:rPr>
          <w:rStyle w:val="5"/>
          <w:rFonts w:hint="eastAsia" w:ascii="微软雅黑" w:hAnsi="微软雅黑" w:eastAsia="微软雅黑" w:cs="微软雅黑"/>
          <w:i w:val="0"/>
          <w:caps w:val="0"/>
          <w:color w:val="333333"/>
          <w:spacing w:val="0"/>
          <w:sz w:val="32"/>
          <w:szCs w:val="32"/>
          <w:shd w:val="clear" w:fill="FFFFFF"/>
        </w:rPr>
        <w:t>二、依法科学设定罚款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（四）严守罚款设定权限。</w:t>
      </w:r>
      <w:r>
        <w:rPr>
          <w:rFonts w:hint="eastAsia" w:ascii="仿宋" w:hAnsi="仿宋" w:eastAsia="仿宋" w:cs="仿宋"/>
          <w:i w:val="0"/>
          <w:caps w:val="0"/>
          <w:color w:val="333333"/>
          <w:spacing w:val="0"/>
          <w:sz w:val="32"/>
          <w:szCs w:val="32"/>
          <w:shd w:val="clear" w:fill="FFFFFF"/>
        </w:rPr>
        <w:t>法律、法规对违法行为已经作出行政处罚规定但未设定罚款的，规章不得增设罚款。法律、法规已经设定罚款但未规定罚款数额的，或者尚未制定法律、法规，因行政管理迫切需要依法先以规章设定罚款的，规章要在规定的罚款限额内作出具体规定。规章设定的罚款数额不得超过法律、法规对相似违法行为规定的罚款数额，并要根据经济社会发展情况适时调整。鼓励跨行政区域按规定联合制定统一监管制度及标准规范，协同推动罚款数额、裁量基准等相对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（五）科学适用过罚相当原则。</w:t>
      </w:r>
      <w:r>
        <w:rPr>
          <w:rFonts w:hint="eastAsia" w:ascii="仿宋" w:hAnsi="仿宋" w:eastAsia="仿宋" w:cs="仿宋"/>
          <w:i w:val="0"/>
          <w:caps w:val="0"/>
          <w:color w:val="333333"/>
          <w:spacing w:val="0"/>
          <w:sz w:val="32"/>
          <w:szCs w:val="32"/>
          <w:shd w:val="clear" w:fill="FFFFFF"/>
        </w:rPr>
        <w:t>行政法规、规章新设罚款和确定罚款数额时，要坚持过罚相当，做到该宽则宽、当严则严，避免失衡。要综合运用各种管理手段，能够通过教育劝导、责令改正、信息披露等方式管理的，一般不设定罚款。实施罚款处罚无法有效进行行政管理时，要依法确定更加适当的处罚种类。设定罚款要结合违法行为的事实、性质、情节以及社会危害程度，统筹考虑经济社会发展水平、行业特点、地方实际、主观过错、获利情况、相似违法行为罚款规定等因素，区分情况、分类处理，确保有效遏制违法、激励守法。制定行政法规、规章时，可以根据行政处罚法第三十二条等规定，对当事人为盲人、又聋又哑的人或者已满75周岁的人等，结合具体情况明确罚款的从轻、减轻情形；根据行政处罚法第三十三条等规定，细化不予、可以不予罚款情形；参考相关法律规范对教唆未成年人等的从重处罚规定，明确罚款的从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（六）合理确定罚款数额。</w:t>
      </w:r>
      <w:r>
        <w:rPr>
          <w:rFonts w:hint="eastAsia" w:ascii="仿宋" w:hAnsi="仿宋" w:eastAsia="仿宋" w:cs="仿宋"/>
          <w:i w:val="0"/>
          <w:caps w:val="0"/>
          <w:color w:val="333333"/>
          <w:spacing w:val="0"/>
          <w:sz w:val="32"/>
          <w:szCs w:val="32"/>
          <w:shd w:val="clear" w:fill="FFFFFF"/>
        </w:rPr>
        <w:t>设定罚款要符合行政处罚法和相关法律规范的立法目的，一般要明确罚款数额，科学采用数额罚、倍数（比例）罚等方法。规定处以一定幅度的罚款时，除涉及公民生命健康安全、金融安全等情形外，罚款的最低数额与最高数额之间一般不超过10倍。各地区、各部门要根据地域、领域等因素，适时调整本地区、本部门规定的适用听证程序的“较大数额罚款”标准。同一行政法规、规章对不同违法行为设定罚款的要相互协调，不同行政法规、规章对同一个违法行为设定罚款的要相互衔接，避免畸高畸低。拟规定较高起罚数额的，要充分听取专家学者等各方面意见，参考不同领域的相似违法行为或者同一领域的不同违法行为的罚款数额。起草法律、行政法规、地方性法规时，需要制定涉及罚款的配套规</w:t>
      </w:r>
      <w:r>
        <w:rPr>
          <w:rFonts w:hint="eastAsia" w:ascii="仿宋" w:hAnsi="仿宋" w:eastAsia="仿宋" w:cs="仿宋"/>
          <w:i w:val="0"/>
          <w:caps w:val="0"/>
          <w:color w:val="333333"/>
          <w:spacing w:val="0"/>
          <w:sz w:val="32"/>
          <w:szCs w:val="32"/>
          <w:shd w:val="clear" w:fill="FFFFFF"/>
        </w:rPr>
        <w:t>定的，有关部门要统筹考虑、同步研究。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（七）定期评估清理罚款规定。</w:t>
      </w:r>
      <w:r>
        <w:rPr>
          <w:rFonts w:hint="eastAsia" w:ascii="仿宋" w:hAnsi="仿宋" w:eastAsia="仿宋" w:cs="仿宋"/>
          <w:i w:val="0"/>
          <w:caps w:val="0"/>
          <w:color w:val="333333"/>
          <w:spacing w:val="0"/>
          <w:sz w:val="32"/>
          <w:szCs w:val="32"/>
          <w:shd w:val="clear" w:fill="FFFFFF"/>
        </w:rPr>
        <w:t>国</w:t>
      </w:r>
      <w:r>
        <w:rPr>
          <w:rFonts w:hint="eastAsia" w:ascii="仿宋" w:hAnsi="仿宋" w:eastAsia="仿宋" w:cs="仿宋"/>
          <w:i w:val="0"/>
          <w:caps w:val="0"/>
          <w:color w:val="333333"/>
          <w:spacing w:val="0"/>
          <w:sz w:val="32"/>
          <w:szCs w:val="32"/>
          <w:shd w:val="clear" w:fill="FFFFFF"/>
        </w:rPr>
        <w:t>务院部门和省、自治区、直辖市人民政府及其有关部门在落实行政处罚定期评估制度、每5年分类分批组织行政处罚评估时，要重点评估设定时间较早、罚款数额较大、社会关注度较高、与企业和群众关系密切的罚款规定。对评估发现有不符合上位法规定、不适应经济社会发展需要、明显过罚不当、缺乏针对性和实用性等情形的罚款规定，要及时按照立法权限和程序自行或者建议有权机关予以修改或者废止。各地区、各部门以行政规范性文件形式对违法所得计算方式作出例外规定的，要及时清理；确有必要保留的，要依法及时通过法律、行政法规、部门规章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（八）及时修改废止罚款规定。</w:t>
      </w:r>
      <w:r>
        <w:rPr>
          <w:rFonts w:hint="eastAsia" w:ascii="仿宋" w:hAnsi="仿宋" w:eastAsia="仿宋" w:cs="仿宋"/>
          <w:i w:val="0"/>
          <w:caps w:val="0"/>
          <w:color w:val="333333"/>
          <w:spacing w:val="0"/>
          <w:sz w:val="32"/>
          <w:szCs w:val="32"/>
          <w:shd w:val="clear" w:fill="FFFFFF"/>
        </w:rPr>
        <w:t>国</w:t>
      </w:r>
      <w:r>
        <w:rPr>
          <w:rFonts w:hint="eastAsia" w:ascii="仿宋" w:hAnsi="仿宋" w:eastAsia="仿宋" w:cs="仿宋"/>
          <w:i w:val="0"/>
          <w:caps w:val="0"/>
          <w:color w:val="333333"/>
          <w:spacing w:val="0"/>
          <w:sz w:val="32"/>
          <w:szCs w:val="32"/>
          <w:shd w:val="clear" w:fill="FFFFFF"/>
        </w:rPr>
        <w:t>务院决定取消行政法规、部门规章中设定的罚款事项的，自决定印发之日起暂时停止适用相关行政法规、部门规章中的有关罚款规定。国务院决定调整行政法规、部门规章中设定的罚款事项的，按照修改后的相关行政法规、部门规章中的有关罚款规定执行。国务院有关部门要自决定印发之日起60日内向国务院报送相关行政法规修改方案，并完成相关部门规章修改或者废止工作，部门规章需要根据修改后的行政法规调整的，要自相关行政法规公布之日起60日内完成修改或者废止工作。因特殊原因无法在上述期限内完成部门规章修改或者废止工作的，可以适当延长，但延长期限最多不得超过30日。罚款事项取消后，有关部门要依法认真研究，严格落实监管责任，着力加强事中事后监管，完善监管方法，规范监管程序，提高监管的科学性、简约性和精准性，进一步提升监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left"/>
        <w:rPr>
          <w:rStyle w:val="5"/>
          <w:rFonts w:hint="eastAsia" w:ascii="微软雅黑" w:hAnsi="微软雅黑" w:eastAsia="微软雅黑" w:cs="微软雅黑"/>
          <w:i w:val="0"/>
          <w:caps w:val="0"/>
          <w:color w:val="333333"/>
          <w:spacing w:val="0"/>
          <w:sz w:val="32"/>
          <w:szCs w:val="32"/>
          <w:shd w:val="clear" w:fill="FFFFFF"/>
        </w:rPr>
      </w:pPr>
      <w:r>
        <w:rPr>
          <w:rStyle w:val="5"/>
          <w:rFonts w:hint="eastAsia" w:ascii="微软雅黑" w:hAnsi="微软雅黑" w:eastAsia="微软雅黑" w:cs="微软雅黑"/>
          <w:i w:val="0"/>
          <w:caps w:val="0"/>
          <w:color w:val="333333"/>
          <w:spacing w:val="0"/>
          <w:sz w:val="32"/>
          <w:szCs w:val="32"/>
          <w:shd w:val="clear" w:fill="FFFFFF"/>
        </w:rPr>
        <w:t>三、严格规范罚款实施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（九）坚持严格规范执法。</w:t>
      </w:r>
      <w:r>
        <w:rPr>
          <w:rFonts w:hint="eastAsia" w:ascii="仿宋" w:hAnsi="仿宋" w:eastAsia="仿宋" w:cs="仿宋"/>
          <w:i w:val="0"/>
          <w:caps w:val="0"/>
          <w:color w:val="333333"/>
          <w:spacing w:val="0"/>
          <w:sz w:val="32"/>
          <w:szCs w:val="32"/>
          <w:shd w:val="clear" w:fill="FFFFFF"/>
        </w:rPr>
        <w:t>要严格按照法律规定和违法事实实施罚款，不得随意给予顶格罚款或者高额罚款，不得随意降低对违法行为的认定门槛，不得随意扩大违法行为的范围。对违法行为的事实、性质、情节以及社会危害程度基本相似的案件，要确保罚款裁量尺度符合法定要求，避免类案不同罚。严禁逐利罚款，严禁对已超过法定追责期限的违法行为给予罚款。加大对重点领域的执法力度，对严重违法行为，要依法落实“处罚到人”要求，坚决维护企业和群众合法权益。行政机关实施处罚时应当责令当事人改正或者限期改正违法行为，不得只罚款而不纠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（十）坚持公正文明执法。</w:t>
      </w:r>
      <w:r>
        <w:rPr>
          <w:rFonts w:hint="eastAsia" w:ascii="仿宋" w:hAnsi="仿宋" w:eastAsia="仿宋" w:cs="仿宋"/>
          <w:i w:val="0"/>
          <w:caps w:val="0"/>
          <w:color w:val="333333"/>
          <w:spacing w:val="0"/>
          <w:sz w:val="32"/>
          <w:szCs w:val="32"/>
          <w:shd w:val="clear" w:fill="FFFFFF"/>
        </w:rPr>
        <w:t>国务院部门和省、自治区、直辖市人民政府及其有关部门要根据不同地域、领域等实际情况，科学细化行政处罚法第三十二条、第三十三条规定的适用情形。行政机关实施罚款等处罚时，要统筹考虑相关法律规范与行政处罚法的适用关系，符合行政处罚法第三十二条规定的从轻、减轻处罚或者第三十三条等规定的不予、可以不予处罚情形的，要适用行政处罚法依法作出相应处理。鼓励行政机关制定不予、可以不予、减轻、从轻、从重罚款等处罚清单，依据行政处罚法、相关法律规范定期梳理、发布典型案例，加强指导、培训。制定罚款等处罚清单或者实施罚款时，要统筹考虑法律制度与客观实际、合法性与合理性、具体条款与原则规定，确保过罚相当、法理相融。行政执法人员要文明执法，尊重和保护当事人合法权益，准确使用文明执法用语，注重提升行政执法形象，依法文明应对突发情况。行政机关要根据实际情况，细化对行政执法人员的追责免责相关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（十一）坚持处罚与教育相结合。</w:t>
      </w:r>
      <w:r>
        <w:rPr>
          <w:rFonts w:hint="eastAsia" w:ascii="仿宋" w:hAnsi="仿宋" w:eastAsia="仿宋" w:cs="仿宋"/>
          <w:i w:val="0"/>
          <w:caps w:val="0"/>
          <w:color w:val="333333"/>
          <w:spacing w:val="0"/>
          <w:sz w:val="32"/>
          <w:szCs w:val="32"/>
          <w:shd w:val="clear" w:fill="FFFFFF"/>
        </w:rPr>
        <w:t>认真落实“谁执法谁普法”普法责任制，将普法教育贯穿于行政处罚全过程，引导企业和群众依法经营、自觉守法，努力预防和化解违法风险。要充分考虑社会公众的切身感受，确保罚款决定符合法理，并考虑相关事理和情理，优化罚款决定延期、分期履行制度。要依法广泛综合运用说服教育、劝导示范、指导约谈等方式，让执法既有力度又有温度。总结证券等领域经验做法，在部分领域研究、探索运用行政和解等非强制行政手段。鼓励行政机关建立与企业和群众常态化沟通机制，加强跟进帮扶指导，探索构建“预防为主、轻微免罚、重违严惩、过罚相当、事后回访”等执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（十二）持续规范非现场执法。</w:t>
      </w:r>
      <w:r>
        <w:rPr>
          <w:rFonts w:hint="eastAsia" w:ascii="仿宋" w:hAnsi="仿宋" w:eastAsia="仿宋" w:cs="仿宋"/>
          <w:i w:val="0"/>
          <w:caps w:val="0"/>
          <w:color w:val="333333"/>
          <w:spacing w:val="0"/>
          <w:sz w:val="32"/>
          <w:szCs w:val="32"/>
          <w:shd w:val="clear" w:fill="FFFFFF"/>
        </w:rPr>
        <w:t>县级以上地方人民政府有关部门、乡镇人民政府（街道办事处）要在2024年12月底前完成执法类电子技术监控设备（以下简称监控设备）清理、规范工作，及时停止使用不合法、不合规、不必要的监控设备，清理结果分别报本级人民政府、上级人民政府；每年年底前，县级以上地方人民政府有关部门、乡镇人民政府（街道办事处）要分别向本级人民政府、上级人民政府报告监控设备新增情况，司法行政部门加强执法监督。利用监控设备收集、固定违法事实的，应当经过法制和技术审核，根据监管需要确定监控设备的设置地点、间距和数量等，设置地点要有明显可见的标识，投入使用前要及时向社会公布，严禁为增加罚款收入脱离实际监管需要随意设置。要确保计量准确，未经依法检定、逾期未检定或者检定不合格的，不得使用。要充分运用大数据分析研判，对违法事实采集量、罚款数额畸高的监控设备开展重点监督，违法违规设置或者滥用监控设备的立即停用，限期核查评估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left"/>
        <w:rPr>
          <w:rStyle w:val="5"/>
          <w:rFonts w:hint="eastAsia" w:ascii="微软雅黑" w:hAnsi="微软雅黑" w:eastAsia="微软雅黑" w:cs="微软雅黑"/>
          <w:i w:val="0"/>
          <w:caps w:val="0"/>
          <w:color w:val="333333"/>
          <w:spacing w:val="0"/>
          <w:sz w:val="32"/>
          <w:szCs w:val="32"/>
          <w:shd w:val="clear" w:fill="FFFFFF"/>
        </w:rPr>
      </w:pPr>
      <w:r>
        <w:rPr>
          <w:rStyle w:val="5"/>
          <w:rFonts w:hint="eastAsia" w:ascii="微软雅黑" w:hAnsi="微软雅黑" w:eastAsia="微软雅黑" w:cs="微软雅黑"/>
          <w:i w:val="0"/>
          <w:caps w:val="0"/>
          <w:color w:val="333333"/>
          <w:spacing w:val="0"/>
          <w:sz w:val="32"/>
          <w:szCs w:val="32"/>
          <w:shd w:val="clear" w:fill="FFFFFF"/>
        </w:rPr>
        <w:t>四、全面强化罚款监督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（十三）深入开展源头治理。</w:t>
      </w:r>
      <w:r>
        <w:rPr>
          <w:rFonts w:hint="eastAsia" w:ascii="仿宋" w:hAnsi="仿宋" w:eastAsia="仿宋" w:cs="仿宋"/>
          <w:i w:val="0"/>
          <w:caps w:val="0"/>
          <w:color w:val="333333"/>
          <w:spacing w:val="0"/>
          <w:sz w:val="32"/>
          <w:szCs w:val="32"/>
          <w:shd w:val="clear" w:fill="FFFFFF"/>
        </w:rPr>
        <w:t>坚决防止以罚增收、以罚代管、逐利罚款等行为，严格规范罚款，推进事中事后监管法治化、制度化、规范化。对社会关注度较高、投诉举报集中、违法行为频繁发生等罚款事项，要综合分析研判，优化管理措施，不能只罚不管；行政机关不作为的，上级行政机关要加强监督，符合问责规定的，严肃问责。要坚持系统观念，对涉及公共安全和群众生命健康等行业、领域中的普遍性问题，要推动从个案办理到类案管理再到系统治理，实现“办理一案、治理一类、影响一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（十四）持续加强财会审计监督。</w:t>
      </w:r>
      <w:r>
        <w:rPr>
          <w:rFonts w:hint="eastAsia" w:ascii="仿宋" w:hAnsi="仿宋" w:eastAsia="仿宋" w:cs="仿宋"/>
          <w:i w:val="0"/>
          <w:caps w:val="0"/>
          <w:color w:val="333333"/>
          <w:spacing w:val="0"/>
          <w:sz w:val="32"/>
          <w:szCs w:val="32"/>
          <w:shd w:val="clear" w:fill="FFFFFF"/>
        </w:rPr>
        <w:t>行政机关要将应当上缴的罚款收入，按照规定缴入国库，任何部门、单位和个人不得截留、私分、占用、挪用或者拖欠。对当事人不及时足额缴纳罚款的，行政机关要及时启动追缴程序，履行追缴职责。坚决防止罚款收入不合理增长，严肃查处罚款收入不真实、违规处置罚款收入等问题。财政部门要加强对罚缴分离、收支两条线等制度实施情况的监督，会同有关部门按规定开展专项监督检查。要依法加强对罚款收入的规范化管理，强化对罚款收入异常变化的监督，同一地区、同一部门罚款收入同比异常上升的，必要时开展实地核查。强化中央与地方监督上下联动，压实财政、审计等部门的监督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（十五）充分发挥监督合力。</w:t>
      </w:r>
      <w:r>
        <w:rPr>
          <w:rFonts w:hint="eastAsia" w:ascii="仿宋" w:hAnsi="仿宋" w:eastAsia="仿宋" w:cs="仿宋"/>
          <w:i w:val="0"/>
          <w:caps w:val="0"/>
          <w:color w:val="333333"/>
          <w:spacing w:val="0"/>
          <w:sz w:val="32"/>
          <w:szCs w:val="32"/>
          <w:shd w:val="clear" w:fill="FFFFFF"/>
        </w:rPr>
        <w:t>各地区、各部门要健全和完善重大行政处罚备案制度和行政执法统计年报制度。县级以上地方人民政府司法行政部门要加强案卷评查等行政执法监督工作，对违法或者明显过罚不当的，要督促有关行政机关予以改正；对不及时改正的，要报请本级人民政府责令改正。拓宽监督渠道，建立行政执法监督与12345政务服务便民热线等监督渠道的信息共享工作机制。充分发挥行政复议化解行政争议的主渠道作用，促进行政复议案件繁简分流，依法纠正违法或者不当的罚款决定。对罚款决定被依法变更、撤销、确认违法或者确认无效的，有关行政机关和财政部门要及时办理罚款退还等手续。加大规章备案审查力度，审查发现规章违法变更法律、行政法规、地方性法规规定的罚款实施主体、对象范围、行为种类或者数额幅度的，要及时予以纠正，切实维护国家法制统一。要加强分析研判和指导监督，收集梳理高频投诉事项和网络舆情，对设定或者实施罚款中的典型违法问题予以及时通报和点名曝光，依法依规对相关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各地区、各部门要将规范和监督罚款设定与实施，作为提升政府治理能力、维护公共利益和社会秩序、优化营商环境的重要抓手，认真贯彻实施行政处罚法和《国务院关于进一步贯彻实施〈中华人民共和国行政处罚法〉的通知》（国发〔2021〕26号）等，系统梳理涉及罚款事项的行政法规、规章，加快修改完善相关制度。司法部要加强统筹协调监督，组织推动完善行政处罚制度、做好有关解释答复工作，指导监督各地区、各部门抓好贯彻实施，重要情况和问题及时报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仿宋" w:hAnsi="仿宋" w:eastAsia="仿宋" w:cs="仿宋"/>
          <w:i w:val="0"/>
          <w:caps w:val="0"/>
          <w:color w:val="333333"/>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val="en-US" w:eastAsia="zh-CN"/>
        </w:rPr>
        <w:t xml:space="preserve">                   </w:t>
      </w:r>
      <w:bookmarkStart w:id="0" w:name="_GoBack"/>
      <w:bookmarkEnd w:id="0"/>
      <w:r>
        <w:rPr>
          <w:rFonts w:hint="eastAsia" w:ascii="仿宋" w:hAnsi="仿宋" w:eastAsia="仿宋" w:cs="仿宋"/>
          <w:i w:val="0"/>
          <w:caps w:val="0"/>
          <w:color w:val="333333"/>
          <w:spacing w:val="0"/>
          <w:sz w:val="32"/>
          <w:szCs w:val="32"/>
          <w:shd w:val="clear" w:fill="FFFFFF"/>
        </w:rPr>
        <w:t>2024年2月9日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74FFC"/>
    <w:rsid w:val="6408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WJ</cp:lastModifiedBy>
  <dcterms:modified xsi:type="dcterms:W3CDTF">2024-02-20T01:39:06Z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